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0"/>
          <w:szCs w:val="40"/>
        </w:rPr>
      </w:pPr>
      <w:r>
        <w:rPr>
          <w:rFonts w:hint="eastAsia" w:ascii="华文中宋" w:hAnsi="华文中宋" w:eastAsia="华文中宋" w:cs="华文中宋"/>
          <w:sz w:val="40"/>
          <w:szCs w:val="40"/>
        </w:rPr>
        <w:t>我校专业技术岗位人员聘用现状及下一聘期</w:t>
      </w:r>
    </w:p>
    <w:p>
      <w:pPr>
        <w:jc w:val="center"/>
        <w:rPr>
          <w:rFonts w:hint="eastAsia" w:ascii="华文中宋" w:hAnsi="华文中宋" w:eastAsia="华文中宋" w:cs="华文中宋"/>
          <w:sz w:val="40"/>
          <w:szCs w:val="40"/>
          <w:lang w:eastAsia="zh-CN"/>
        </w:rPr>
      </w:pPr>
      <w:r>
        <w:rPr>
          <w:rFonts w:hint="eastAsia" w:ascii="华文中宋" w:hAnsi="华文中宋" w:eastAsia="华文中宋" w:cs="华文中宋"/>
          <w:sz w:val="40"/>
          <w:szCs w:val="40"/>
        </w:rPr>
        <w:t>岗位</w:t>
      </w:r>
      <w:r>
        <w:rPr>
          <w:rFonts w:hint="eastAsia" w:ascii="华文中宋" w:hAnsi="华文中宋" w:eastAsia="华文中宋" w:cs="华文中宋"/>
          <w:sz w:val="40"/>
          <w:szCs w:val="40"/>
          <w:lang w:eastAsia="zh-CN"/>
        </w:rPr>
        <w:t>聘任思路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（征求意见稿）</w:t>
      </w:r>
    </w:p>
    <w:p>
      <w:pPr>
        <w:spacing w:line="56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各学院（部）、研究院：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学校本轮专业技术岗位聘期至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2020年2月29日到期，</w:t>
      </w:r>
      <w:r>
        <w:rPr>
          <w:rFonts w:hint="eastAsia" w:ascii="仿宋" w:hAnsi="仿宋" w:eastAsia="仿宋" w:cs="仿宋"/>
          <w:sz w:val="32"/>
          <w:szCs w:val="32"/>
        </w:rPr>
        <w:t>为做好本轮聘期期满考核和新一轮专业技术岗位设置与聘用工作，人事处对本聘期末岗位聘任情况进行了分析，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sz w:val="32"/>
          <w:szCs w:val="32"/>
        </w:rPr>
        <w:t>对新一轮专业技术岗位情况进行了测算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，形成新一轮专业技术岗位聘任思路，</w:t>
      </w:r>
      <w:r>
        <w:rPr>
          <w:rFonts w:hint="eastAsia" w:ascii="仿宋" w:hAnsi="仿宋" w:eastAsia="仿宋" w:cs="仿宋"/>
          <w:sz w:val="32"/>
          <w:szCs w:val="32"/>
        </w:rPr>
        <w:t>具体情况如下：</w:t>
      </w:r>
    </w:p>
    <w:p>
      <w:pPr>
        <w:spacing w:line="560" w:lineRule="exact"/>
        <w:ind w:firstLine="643" w:firstLineChars="200"/>
        <w:rPr>
          <w:rFonts w:ascii="楷体_GB2312" w:hAnsi="仿宋" w:eastAsia="楷体_GB2312" w:cs="仿宋"/>
          <w:b/>
          <w:sz w:val="32"/>
          <w:szCs w:val="32"/>
        </w:rPr>
      </w:pPr>
      <w:r>
        <w:rPr>
          <w:rFonts w:hint="eastAsia" w:ascii="楷体_GB2312" w:hAnsi="黑体" w:eastAsia="楷体_GB2312" w:cs="黑体"/>
          <w:b/>
          <w:sz w:val="32"/>
          <w:szCs w:val="32"/>
        </w:rPr>
        <w:t>一、学校本轮聘期末专技岗位聘任情况</w:t>
      </w:r>
    </w:p>
    <w:p>
      <w:pPr>
        <w:spacing w:line="560" w:lineRule="exact"/>
        <w:ind w:firstLine="643" w:firstLineChars="200"/>
        <w:rPr>
          <w:rFonts w:ascii="楷体_GB2312" w:hAnsi="黑体" w:eastAsia="楷体_GB2312" w:cs="黑体"/>
          <w:b/>
          <w:sz w:val="32"/>
          <w:szCs w:val="32"/>
        </w:rPr>
      </w:pPr>
      <w:r>
        <w:rPr>
          <w:rFonts w:hint="eastAsia" w:ascii="楷体_GB2312" w:hAnsi="黑体" w:eastAsia="楷体_GB2312" w:cs="黑体"/>
          <w:b/>
          <w:sz w:val="32"/>
          <w:szCs w:val="32"/>
        </w:rPr>
        <w:t>（一）全校专业技术岗位情况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截至2020年3月1日，我校共有专业技术人员1272人（含双肩挑134人），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其中校本部聘任1095人（含双肩挑126人），东方学院聘任177人（含双肩挑8人）。专业技术人员中正高聘任182人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  <w:t>（14.41%）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，副高聘任428人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  <w:t>（33.72%）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，高级岗位比例为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  <w:t>48.13%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根据《浙江省人力资源和社会保障厅 浙江省教育厅关于完善高校专业技术岗位结构比例调控的通知》，我校聘任正高专业技术岗位比例不高于19%，聘任副高专业技术岗位比例不高于30%，学校本轮聘期末高级专业技术岗位空余情况如下：</w:t>
      </w:r>
    </w:p>
    <w:tbl>
      <w:tblPr>
        <w:tblStyle w:val="4"/>
        <w:tblW w:w="8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1326"/>
        <w:gridCol w:w="907"/>
        <w:gridCol w:w="907"/>
        <w:gridCol w:w="907"/>
        <w:gridCol w:w="907"/>
        <w:gridCol w:w="907"/>
        <w:gridCol w:w="907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95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类型</w:t>
            </w:r>
          </w:p>
        </w:tc>
        <w:tc>
          <w:tcPr>
            <w:tcW w:w="132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现聘专技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岗位数</w:t>
            </w:r>
          </w:p>
        </w:tc>
        <w:tc>
          <w:tcPr>
            <w:tcW w:w="2721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正高（</w:t>
            </w:r>
            <w:r>
              <w:rPr>
                <w:rFonts w:ascii="Arial" w:hAnsi="Arial" w:eastAsia="宋体" w:cs="Arial"/>
                <w:bCs/>
                <w:sz w:val="24"/>
              </w:rPr>
              <w:t>≤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19%）</w:t>
            </w:r>
          </w:p>
        </w:tc>
        <w:tc>
          <w:tcPr>
            <w:tcW w:w="2721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副高（</w:t>
            </w:r>
            <w:r>
              <w:rPr>
                <w:rFonts w:ascii="Arial" w:hAnsi="Arial" w:eastAsia="宋体" w:cs="Arial"/>
                <w:bCs/>
                <w:sz w:val="24"/>
              </w:rPr>
              <w:t>≤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30%）</w:t>
            </w:r>
          </w:p>
        </w:tc>
        <w:tc>
          <w:tcPr>
            <w:tcW w:w="91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高级岗位空余数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79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32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核定正高数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现聘正高数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空余正高数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核定副高数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现聘副高数</w:t>
            </w:r>
          </w:p>
        </w:tc>
        <w:tc>
          <w:tcPr>
            <w:tcW w:w="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空余副高数</w:t>
            </w:r>
          </w:p>
        </w:tc>
        <w:tc>
          <w:tcPr>
            <w:tcW w:w="913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数量</w:t>
            </w:r>
          </w:p>
        </w:tc>
        <w:tc>
          <w:tcPr>
            <w:tcW w:w="132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1272</w:t>
            </w:r>
          </w:p>
        </w:tc>
        <w:tc>
          <w:tcPr>
            <w:tcW w:w="9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240</w:t>
            </w:r>
          </w:p>
        </w:tc>
        <w:tc>
          <w:tcPr>
            <w:tcW w:w="9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182</w:t>
            </w:r>
          </w:p>
        </w:tc>
        <w:tc>
          <w:tcPr>
            <w:tcW w:w="9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u w:val="single"/>
              </w:rPr>
              <w:t>58</w:t>
            </w:r>
          </w:p>
        </w:tc>
        <w:tc>
          <w:tcPr>
            <w:tcW w:w="9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379</w:t>
            </w:r>
          </w:p>
        </w:tc>
        <w:tc>
          <w:tcPr>
            <w:tcW w:w="9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428</w:t>
            </w:r>
          </w:p>
        </w:tc>
        <w:tc>
          <w:tcPr>
            <w:tcW w:w="9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u w:val="single"/>
              </w:rPr>
              <w:t>-47</w:t>
            </w:r>
          </w:p>
        </w:tc>
        <w:tc>
          <w:tcPr>
            <w:tcW w:w="9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u w:val="single"/>
              </w:rPr>
              <w:t>11</w:t>
            </w:r>
          </w:p>
        </w:tc>
      </w:tr>
    </w:tbl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黑体" w:eastAsia="楷体_GB2312" w:cs="黑体"/>
          <w:b/>
          <w:sz w:val="32"/>
          <w:szCs w:val="32"/>
        </w:rPr>
        <w:t>（二）本聘期末各单位专技岗位聘任情况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《浙江财经大学二级学院教师专业技术岗位核定办法（试行）》（浙财大〔201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号）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，学科性学院（研究院）聘期末共聘教师810人（含学院双肩挑教师46人），其中聘任正高153人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  <w:t>（18.89%）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聘任副高322人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  <w:t>（39.75%）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高级岗位比例为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  <w:t>58.64%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部分学院岗位超出较多。</w:t>
      </w:r>
    </w:p>
    <w:p>
      <w:pPr>
        <w:spacing w:line="560" w:lineRule="exact"/>
        <w:ind w:firstLine="643" w:firstLineChars="200"/>
        <w:rPr>
          <w:rFonts w:ascii="楷体_GB2312" w:hAnsi="黑体" w:eastAsia="楷体_GB2312" w:cs="黑体"/>
          <w:b/>
          <w:sz w:val="32"/>
          <w:szCs w:val="32"/>
        </w:rPr>
      </w:pPr>
      <w:r>
        <w:rPr>
          <w:rFonts w:hint="eastAsia" w:ascii="楷体_GB2312" w:hAnsi="黑体" w:eastAsia="楷体_GB2312" w:cs="黑体"/>
          <w:b/>
          <w:sz w:val="32"/>
          <w:szCs w:val="32"/>
        </w:rPr>
        <w:t>二、新一轮岗位聘任思路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根据专业技术岗位聘任特点，</w:t>
      </w:r>
      <w:r>
        <w:rPr>
          <w:rFonts w:hint="eastAsia" w:ascii="楷体_GB2312" w:hAnsi="黑体" w:eastAsia="楷体_GB2312" w:cs="黑体"/>
          <w:b/>
          <w:sz w:val="32"/>
          <w:szCs w:val="32"/>
          <w:u w:val="single"/>
        </w:rPr>
        <w:t>全校专业技术岗位人员数量的增加基本在于学科性学院（研究院）教师的引进，数量的减少基本在于学科性学院（研究院）教师的退休和离职</w:t>
      </w:r>
      <w:r>
        <w:rPr>
          <w:rFonts w:hint="eastAsia" w:ascii="楷体_GB2312" w:hAnsi="黑体" w:eastAsia="楷体_GB2312" w:cs="黑体"/>
          <w:b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学科性学院（研究院）教师外的专业技术岗位人员数量基本稳定。如新一轮聘期内引进和离职人数参照本轮聘期数据进行测算（2017-2019共新增专业技术岗位人员150人，离职45人），新一轮聘期末将聘任专业技术岗位人员1377人，其中正高158人，副高399人，具体如下表：</w:t>
      </w:r>
    </w:p>
    <w:tbl>
      <w:tblPr>
        <w:tblStyle w:val="4"/>
        <w:tblW w:w="906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1828"/>
        <w:gridCol w:w="597"/>
        <w:gridCol w:w="567"/>
        <w:gridCol w:w="567"/>
        <w:gridCol w:w="594"/>
        <w:gridCol w:w="521"/>
        <w:gridCol w:w="562"/>
        <w:gridCol w:w="562"/>
        <w:gridCol w:w="563"/>
        <w:gridCol w:w="512"/>
        <w:gridCol w:w="584"/>
        <w:gridCol w:w="525"/>
        <w:gridCol w:w="5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总数</w:t>
            </w:r>
          </w:p>
        </w:tc>
        <w:tc>
          <w:tcPr>
            <w:tcW w:w="1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教师（含双肩挑）</w:t>
            </w:r>
          </w:p>
        </w:tc>
        <w:tc>
          <w:tcPr>
            <w:tcW w:w="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聘期人才引进量</w:t>
            </w:r>
          </w:p>
        </w:tc>
        <w:tc>
          <w:tcPr>
            <w:tcW w:w="1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期间退休人数</w:t>
            </w:r>
          </w:p>
        </w:tc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预计离职人数</w:t>
            </w: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聘期末预计人数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正高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副高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高级岗位</w:t>
            </w:r>
          </w:p>
        </w:tc>
        <w:tc>
          <w:tcPr>
            <w:tcW w:w="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总数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正高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副高</w:t>
            </w:r>
          </w:p>
        </w:tc>
        <w:tc>
          <w:tcPr>
            <w:tcW w:w="5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总数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正高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副高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学科性学院（研究院）教师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915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学科性学院（研究院）教师外专技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—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1272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610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1377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399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对于新一轮专业技术岗位聘任，结合学校专业技术岗位聘任实际，在结合上述</w:t>
      </w:r>
      <w:r>
        <w:rPr>
          <w:rFonts w:hint="eastAsia" w:ascii="楷体_GB2312" w:hAnsi="仿宋" w:eastAsia="楷体_GB2312" w:cs="仿宋"/>
          <w:b/>
          <w:sz w:val="32"/>
          <w:szCs w:val="32"/>
        </w:rPr>
        <w:t>引进、退休、离校</w:t>
      </w:r>
      <w:r>
        <w:rPr>
          <w:rFonts w:hint="eastAsia" w:ascii="仿宋" w:hAnsi="仿宋" w:eastAsia="仿宋" w:cs="仿宋"/>
          <w:sz w:val="32"/>
          <w:szCs w:val="32"/>
        </w:rPr>
        <w:t>等因素情况下，拟定以下方案：</w:t>
      </w:r>
    </w:p>
    <w:p>
      <w:pPr>
        <w:spacing w:line="560" w:lineRule="exact"/>
        <w:ind w:firstLine="643" w:firstLineChars="200"/>
        <w:rPr>
          <w:rFonts w:ascii="楷体_GB2312" w:hAnsi="黑体" w:eastAsia="楷体_GB2312" w:cs="黑体"/>
          <w:b/>
          <w:sz w:val="32"/>
          <w:szCs w:val="32"/>
        </w:rPr>
      </w:pPr>
      <w:r>
        <w:rPr>
          <w:rFonts w:hint="eastAsia" w:ascii="楷体_GB2312" w:hAnsi="黑体" w:eastAsia="楷体_GB2312" w:cs="黑体"/>
          <w:b/>
          <w:sz w:val="32"/>
          <w:szCs w:val="32"/>
        </w:rPr>
        <w:t>1.工作思路和基本情况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为稳步推进改革，建议在新一轮聘任中做如下两点调整</w:t>
      </w:r>
      <w:r>
        <w:rPr>
          <w:rFonts w:hint="eastAsia" w:ascii="楷体_GB2312" w:hAnsi="黑体" w:eastAsia="楷体_GB2312" w:cs="黑体"/>
          <w:b/>
          <w:sz w:val="32"/>
          <w:szCs w:val="32"/>
          <w:u w:val="single"/>
        </w:rPr>
        <w:t>1.在下一聘期中退休人员，可不占学院岗位进行聘任；2.空缺的正高岗位，可用于副高人员聘任，但空缺的副高岗位不可用于聘任正高。</w:t>
      </w:r>
    </w:p>
    <w:p>
      <w:pPr>
        <w:spacing w:line="560" w:lineRule="exact"/>
        <w:ind w:firstLine="640" w:firstLineChars="200"/>
        <w:rPr>
          <w:rFonts w:hint="eastAsia" w:ascii="楷体_GB2312" w:hAnsi="黑体" w:eastAsia="楷体_GB2312" w:cs="黑体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</w:rPr>
        <w:t>浙财大〔2017〕55号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核定办法</w:t>
      </w:r>
      <w:r>
        <w:rPr>
          <w:rFonts w:hint="eastAsia" w:ascii="仿宋" w:hAnsi="仿宋" w:eastAsia="仿宋" w:cs="仿宋"/>
          <w:sz w:val="32"/>
          <w:szCs w:val="32"/>
        </w:rPr>
        <w:t>，对于超出高级岗位核定比例的学院，</w:t>
      </w:r>
      <w:r>
        <w:rPr>
          <w:rFonts w:hint="eastAsia" w:ascii="楷体_GB2312" w:hAnsi="黑体" w:eastAsia="楷体_GB2312" w:cs="黑体"/>
          <w:b/>
          <w:sz w:val="32"/>
          <w:szCs w:val="32"/>
          <w:u w:val="single"/>
        </w:rPr>
        <w:t>需对正高、副高岗位进行低聘，但对低聘人数不做限制，具体由学院视实际情况确定</w:t>
      </w:r>
      <w:r>
        <w:rPr>
          <w:rFonts w:hint="eastAsia" w:ascii="楷体_GB2312" w:hAnsi="黑体" w:eastAsia="楷体_GB2312" w:cs="黑体"/>
          <w:b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楷体_GB2312" w:hAnsi="黑体" w:eastAsia="楷体_GB2312" w:cs="黑体"/>
          <w:b/>
          <w:sz w:val="32"/>
          <w:szCs w:val="32"/>
        </w:rPr>
      </w:pPr>
      <w:r>
        <w:rPr>
          <w:rFonts w:hint="eastAsia" w:ascii="楷体_GB2312" w:hAnsi="黑体" w:eastAsia="楷体_GB2312" w:cs="黑体"/>
          <w:b/>
          <w:sz w:val="32"/>
          <w:szCs w:val="32"/>
        </w:rPr>
        <w:t>三、新一聘期各二级学院（研究院）核定岗位比例思路</w:t>
      </w:r>
    </w:p>
    <w:p>
      <w:pPr>
        <w:spacing w:line="560" w:lineRule="exact"/>
        <w:ind w:firstLine="643" w:firstLineChars="200"/>
        <w:rPr>
          <w:rFonts w:ascii="楷体_GB2312" w:hAnsi="黑体" w:eastAsia="楷体_GB2312" w:cs="黑体"/>
          <w:b/>
          <w:sz w:val="32"/>
          <w:szCs w:val="32"/>
        </w:rPr>
      </w:pPr>
      <w:r>
        <w:rPr>
          <w:rFonts w:hint="eastAsia" w:ascii="楷体_GB2312" w:hAnsi="黑体" w:eastAsia="楷体_GB2312" w:cs="黑体"/>
          <w:b/>
          <w:sz w:val="32"/>
          <w:szCs w:val="32"/>
        </w:rPr>
        <w:t>（一）调整核定岗位比例相关背景情况</w:t>
      </w:r>
    </w:p>
    <w:p>
      <w:pPr>
        <w:spacing w:line="560" w:lineRule="exact"/>
        <w:ind w:firstLine="643" w:firstLineChars="200"/>
        <w:rPr>
          <w:rFonts w:ascii="楷体_GB2312" w:hAnsi="黑体" w:eastAsia="楷体_GB2312" w:cs="黑体"/>
          <w:b/>
          <w:sz w:val="32"/>
          <w:szCs w:val="32"/>
        </w:rPr>
      </w:pPr>
      <w:r>
        <w:rPr>
          <w:rFonts w:hint="eastAsia" w:ascii="楷体_GB2312" w:hAnsi="黑体" w:eastAsia="楷体_GB2312" w:cs="黑体"/>
          <w:b/>
          <w:sz w:val="32"/>
          <w:szCs w:val="32"/>
        </w:rPr>
        <w:t>1.正高和副高的比例与省里调控的比例不匹配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2017年9月，浙江省发布了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关于完善高校专业技术岗位结构比例调控的通知，调整了省内各高校专业技术岗位结构调控比例，博士点院校正、副高分别不高于19%、30%,硕士点院校正、副高分别不高于18%、 30%,一般本科院校正、副高分别不高于16%、30%。我校现核定各学院岗位结构比例虽然高级岗位总比例相差不大，但正高和副高之间的比例与省里调控的比例不相匹配（我校正高占14.41%，副高占33.72%）。</w:t>
      </w:r>
    </w:p>
    <w:p>
      <w:pPr>
        <w:spacing w:line="560" w:lineRule="exact"/>
        <w:ind w:firstLine="643" w:firstLineChars="200"/>
        <w:rPr>
          <w:rFonts w:ascii="楷体_GB2312" w:hAnsi="黑体" w:eastAsia="楷体_GB2312" w:cs="黑体"/>
          <w:b/>
          <w:sz w:val="32"/>
          <w:szCs w:val="32"/>
        </w:rPr>
      </w:pPr>
      <w:r>
        <w:rPr>
          <w:rFonts w:hint="eastAsia" w:ascii="楷体_GB2312" w:hAnsi="黑体" w:eastAsia="楷体_GB2312" w:cs="黑体"/>
          <w:b/>
          <w:sz w:val="32"/>
          <w:szCs w:val="32"/>
        </w:rPr>
        <w:t>2.现行岗位核定办法中个别规定已与当前学校人才队伍发展不适应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随着学校师资队伍的建设，办学水平的提升，社会影响力的加大，学校目前专任教师博士率已有明显提升，聘用专任教师的学位要求已基本提高为博士，各学院（研究院）博士率明显提高。给予各学院按照“博士学位教师所占比重”附加相应高级岗位比例与现阶段发展不相适应。同时，全校专业技术高级岗位聘任人员数已接近省调控的高级岗位数，各学院（研究院）聘用的高级岗位总人数已远超于学校核定岗位数，学校可统筹使用的高级岗位已剩余不多，与现行的“</w:t>
      </w:r>
      <w:r>
        <w:rPr>
          <w:rFonts w:ascii="仿宋_GB2312" w:hAnsi="宋体" w:eastAsia="仿宋_GB2312"/>
          <w:sz w:val="32"/>
          <w:szCs w:val="32"/>
        </w:rPr>
        <w:t>对</w:t>
      </w:r>
      <w:r>
        <w:rPr>
          <w:rFonts w:hint="eastAsia" w:ascii="仿宋_GB2312" w:hAnsi="宋体" w:eastAsia="仿宋_GB2312"/>
          <w:sz w:val="32"/>
          <w:szCs w:val="32"/>
        </w:rPr>
        <w:t>于高级岗位数量已经超出核定比例</w:t>
      </w:r>
      <w:r>
        <w:rPr>
          <w:rFonts w:ascii="仿宋_GB2312" w:hAnsi="宋体" w:eastAsia="仿宋_GB2312"/>
          <w:sz w:val="32"/>
          <w:szCs w:val="32"/>
        </w:rPr>
        <w:t>的</w:t>
      </w:r>
      <w:r>
        <w:rPr>
          <w:rFonts w:hint="eastAsia" w:ascii="仿宋_GB2312" w:hAnsi="宋体" w:eastAsia="仿宋_GB2312"/>
          <w:sz w:val="32"/>
          <w:szCs w:val="32"/>
        </w:rPr>
        <w:t>学院，在年度专业技术职务评聘中，学校给予相关学院每年不超过二个副高推荐名额，一个正高推荐名额</w:t>
      </w:r>
      <w:r>
        <w:rPr>
          <w:rFonts w:hint="eastAsia" w:ascii="仿宋" w:hAnsi="仿宋" w:eastAsia="仿宋" w:cs="仿宋"/>
          <w:sz w:val="32"/>
          <w:szCs w:val="32"/>
        </w:rPr>
        <w:t>”存在一定的矛盾。</w:t>
      </w:r>
    </w:p>
    <w:p>
      <w:pPr>
        <w:spacing w:line="560" w:lineRule="exact"/>
        <w:ind w:firstLine="643" w:firstLineChars="200"/>
        <w:rPr>
          <w:rFonts w:hint="eastAsia" w:ascii="楷体_GB2312" w:hAnsi="黑体" w:eastAsia="楷体_GB2312" w:cs="黑体"/>
          <w:b/>
          <w:sz w:val="32"/>
          <w:szCs w:val="32"/>
        </w:rPr>
      </w:pPr>
      <w:r>
        <w:rPr>
          <w:rFonts w:hint="eastAsia" w:ascii="楷体_GB2312" w:hAnsi="黑体" w:eastAsia="楷体_GB2312" w:cs="黑体"/>
          <w:b/>
          <w:sz w:val="32"/>
          <w:szCs w:val="32"/>
        </w:rPr>
        <w:t>（二）调整核定岗位比例建议方案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建议方案做如下调整：</w:t>
      </w:r>
    </w:p>
    <w:p>
      <w:pPr>
        <w:spacing w:line="560" w:lineRule="exact"/>
        <w:ind w:firstLine="643" w:firstLineChars="200"/>
        <w:rPr>
          <w:rFonts w:hint="eastAsia" w:ascii="楷体_GB2312" w:hAnsi="黑体" w:eastAsia="楷体_GB2312" w:cs="黑体"/>
          <w:b/>
          <w:sz w:val="32"/>
          <w:szCs w:val="32"/>
        </w:rPr>
      </w:pPr>
      <w:r>
        <w:rPr>
          <w:rFonts w:hint="eastAsia" w:ascii="楷体_GB2312" w:hAnsi="黑体" w:eastAsia="楷体_GB2312" w:cs="黑体"/>
          <w:b/>
          <w:sz w:val="32"/>
          <w:szCs w:val="32"/>
        </w:rPr>
        <w:t>1.按省核定标准下达高级岗位基础比例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仍将二级学院（研究院）按具有博士学位授予权学院、具有硕士学位授予权学院、其他学院（部）三类进行分类。具体如下：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黑体" w:eastAsia="楷体_GB2312" w:cs="黑体"/>
          <w:b/>
          <w:sz w:val="32"/>
          <w:szCs w:val="32"/>
          <w:u w:val="single"/>
        </w:rPr>
        <w:t>博士学位授予权学院：</w:t>
      </w:r>
      <w:r>
        <w:rPr>
          <w:rFonts w:hint="eastAsia" w:ascii="仿宋_GB2312" w:eastAsia="仿宋_GB2312"/>
          <w:sz w:val="32"/>
          <w:szCs w:val="32"/>
        </w:rPr>
        <w:t>财税学院、金融学院、经济学院、管制院、金研院。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黑体" w:eastAsia="楷体_GB2312" w:cs="黑体"/>
          <w:b/>
          <w:sz w:val="32"/>
          <w:szCs w:val="32"/>
          <w:u w:val="single"/>
        </w:rPr>
        <w:t>硕士学位授予权学院：</w:t>
      </w:r>
      <w:r>
        <w:rPr>
          <w:rFonts w:hint="eastAsia" w:ascii="仿宋_GB2312" w:eastAsia="仿宋_GB2312"/>
          <w:sz w:val="32"/>
          <w:szCs w:val="32"/>
        </w:rPr>
        <w:t>公管学院、会计学院、工商学院、信智学院、法学院、外国语学院、数科学院、人文学院、艺术学院、马院、地研院。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 w:cs="黑体"/>
          <w:b/>
          <w:sz w:val="32"/>
          <w:szCs w:val="32"/>
          <w:u w:val="single"/>
        </w:rPr>
        <w:t>其他学院（部）</w:t>
      </w:r>
      <w:r>
        <w:rPr>
          <w:rFonts w:hint="eastAsia" w:ascii="楷体_GB2312" w:hAnsi="黑体" w:eastAsia="楷体_GB2312" w:cs="黑体"/>
          <w:b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体育部。</w:t>
      </w:r>
    </w:p>
    <w:p>
      <w:pPr>
        <w:spacing w:line="560" w:lineRule="exact"/>
        <w:ind w:firstLine="640" w:firstLineChars="200"/>
        <w:rPr>
          <w:rFonts w:hint="eastAsia" w:ascii="楷体_GB2312" w:hAnsi="仿宋" w:eastAsia="楷体_GB2312" w:cs="仿宋"/>
          <w:b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基础比例按照省里核定比例下达，</w:t>
      </w:r>
      <w:r>
        <w:rPr>
          <w:rFonts w:hint="eastAsia" w:ascii="楷体_GB2312" w:hAnsi="仿宋" w:eastAsia="楷体_GB2312" w:cs="仿宋"/>
          <w:b/>
          <w:sz w:val="32"/>
          <w:szCs w:val="32"/>
          <w:u w:val="single"/>
        </w:rPr>
        <w:t>即博士学位授予权学院：高级49%（其中正高19%，副高30%）；硕士学位授予权学院：高级48%（其中正高18%，副高30%） ；其他学院（部）：高级46%（其中正高16%，副高30%）。</w:t>
      </w:r>
    </w:p>
    <w:p>
      <w:pPr>
        <w:spacing w:line="560" w:lineRule="exact"/>
        <w:ind w:firstLine="643" w:firstLineChars="200"/>
        <w:rPr>
          <w:rFonts w:hint="eastAsia" w:ascii="楷体_GB2312" w:hAnsi="黑体" w:eastAsia="楷体_GB2312" w:cs="黑体"/>
          <w:b/>
          <w:sz w:val="32"/>
          <w:szCs w:val="32"/>
        </w:rPr>
      </w:pPr>
      <w:r>
        <w:rPr>
          <w:rFonts w:hint="eastAsia" w:ascii="楷体_GB2312" w:hAnsi="黑体" w:eastAsia="楷体_GB2312" w:cs="黑体"/>
          <w:b/>
          <w:sz w:val="32"/>
          <w:szCs w:val="32"/>
        </w:rPr>
        <w:t>2.调整基础上浮比例</w:t>
      </w:r>
    </w:p>
    <w:p>
      <w:pPr>
        <w:spacing w:line="560" w:lineRule="exact"/>
        <w:ind w:firstLine="640" w:firstLineChars="200"/>
        <w:rPr>
          <w:rFonts w:hint="eastAsia" w:ascii="仿宋_GB2312" w:eastAsia="楷体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博士学位授予权学院正高、副高各上浮2%；硕士学位授予权学院、其他学院（部）正高、副高各上浮1%，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东方学院正高、副高各上浮1%。</w:t>
      </w:r>
      <w:r>
        <w:rPr>
          <w:rFonts w:hint="eastAsia" w:ascii="楷体_GB2312" w:hAnsi="仿宋" w:eastAsia="楷体_GB2312" w:cs="仿宋"/>
          <w:b/>
          <w:sz w:val="32"/>
          <w:szCs w:val="32"/>
          <w:u w:val="single"/>
        </w:rPr>
        <w:t>即博士学位授予权学院：高级53%（其中正高21%，副高32%）；硕士学位授予权学院：高级50%（其中正高19%，副高31%） ；其他学院（部）：高级48%（其中正高17%，副高31%）</w:t>
      </w:r>
      <w:r>
        <w:rPr>
          <w:rFonts w:hint="eastAsia" w:ascii="楷体_GB2312" w:hAnsi="仿宋" w:eastAsia="楷体_GB2312" w:cs="仿宋"/>
          <w:b/>
          <w:sz w:val="32"/>
          <w:szCs w:val="32"/>
          <w:u w:val="single"/>
          <w:lang w:eastAsia="zh-CN"/>
        </w:rPr>
        <w:t>。</w:t>
      </w:r>
    </w:p>
    <w:p>
      <w:pPr>
        <w:spacing w:line="560" w:lineRule="exact"/>
        <w:ind w:firstLine="643" w:firstLineChars="200"/>
        <w:rPr>
          <w:rFonts w:hint="eastAsia" w:ascii="楷体_GB2312" w:hAnsi="黑体" w:eastAsia="楷体_GB2312" w:cs="黑体"/>
          <w:b/>
          <w:sz w:val="32"/>
          <w:szCs w:val="32"/>
        </w:rPr>
      </w:pPr>
      <w:r>
        <w:rPr>
          <w:rFonts w:hint="eastAsia" w:ascii="楷体_GB2312" w:hAnsi="黑体" w:eastAsia="楷体_GB2312" w:cs="黑体"/>
          <w:b/>
          <w:sz w:val="32"/>
          <w:szCs w:val="32"/>
        </w:rPr>
        <w:t>3.调整教师博士学位相应附加比例</w:t>
      </w:r>
    </w:p>
    <w:p>
      <w:pPr>
        <w:spacing w:line="560" w:lineRule="exact"/>
        <w:ind w:firstLine="640" w:firstLineChars="200"/>
        <w:rPr>
          <w:rFonts w:hint="eastAsia" w:ascii="楷体_GB2312" w:hAnsi="仿宋" w:eastAsia="楷体_GB2312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博士学位教师所占比重附加高级岗位比例做减半调整，</w:t>
      </w:r>
      <w:r>
        <w:rPr>
          <w:rFonts w:hint="eastAsia" w:ascii="楷体_GB2312" w:hAnsi="仿宋" w:eastAsia="楷体_GB2312" w:cs="仿宋"/>
          <w:b/>
          <w:sz w:val="32"/>
          <w:szCs w:val="32"/>
          <w:u w:val="single"/>
        </w:rPr>
        <w:t>即博士学位比例在85%（含）以上的，高级岗位上浮4%，博士学位比例在75%（含）-85%的，高级岗位上浮3%；博士学位比例在65%（含）-75%的，高级岗位上浮2%；博士学位比例在55%（含）-65%的，高级岗位上浮1%</w:t>
      </w:r>
      <w:r>
        <w:rPr>
          <w:rFonts w:hint="eastAsia" w:ascii="楷体_GB2312" w:hAnsi="仿宋" w:eastAsia="楷体_GB2312" w:cs="仿宋"/>
          <w:b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hint="eastAsia" w:ascii="楷体_GB2312" w:hAnsi="黑体" w:eastAsia="楷体_GB2312" w:cs="黑体"/>
          <w:b/>
          <w:sz w:val="32"/>
          <w:szCs w:val="32"/>
        </w:rPr>
      </w:pPr>
      <w:r>
        <w:rPr>
          <w:rFonts w:hint="eastAsia" w:ascii="楷体_GB2312" w:hAnsi="黑体" w:eastAsia="楷体_GB2312" w:cs="黑体"/>
          <w:b/>
          <w:sz w:val="32"/>
          <w:szCs w:val="32"/>
        </w:rPr>
        <w:t>4.调整省级重要平台附加标准</w:t>
      </w:r>
    </w:p>
    <w:p>
      <w:pPr>
        <w:spacing w:line="560" w:lineRule="exact"/>
        <w:ind w:firstLine="643" w:firstLineChars="200"/>
        <w:rPr>
          <w:rFonts w:ascii="楷体_GB2312" w:hAnsi="黑体" w:eastAsia="楷体_GB2312" w:cs="黑体"/>
          <w:b/>
          <w:sz w:val="32"/>
          <w:szCs w:val="32"/>
          <w:u w:val="single"/>
        </w:rPr>
      </w:pPr>
      <w:r>
        <w:rPr>
          <w:rFonts w:hint="eastAsia" w:ascii="楷体_GB2312" w:hAnsi="黑体" w:eastAsia="楷体_GB2312" w:cs="黑体"/>
          <w:b/>
          <w:sz w:val="32"/>
          <w:szCs w:val="32"/>
          <w:u w:val="single"/>
        </w:rPr>
        <w:t>对于省级及以上教学科研学科平台继续给予相应的高级附加岗位。近三年，省级及以上平台团队数量增加较多，在高级岗位有限的情况下，附加岗位标准减半，即由原1个平台增加1个高级岗位调整为1个平台增加为0.5个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一轮拟对省2011协同创新中心、省哲学社会科学重点研究基地、省创新团队、国家级一流本科专业、省级一流本科专业、省一流学科、省新型高校智库等省级及以上平台给予相应的高级附加岗位，拟附加8.5个正高岗位，18个副高岗位（上一轮共附加12个正高岗位，15个副高岗位）。</w:t>
      </w:r>
    </w:p>
    <w:p>
      <w:pPr>
        <w:spacing w:line="560" w:lineRule="exact"/>
        <w:ind w:firstLine="643" w:firstLineChars="200"/>
        <w:rPr>
          <w:rFonts w:hint="eastAsia" w:ascii="楷体_GB2312" w:hAnsi="黑体" w:eastAsia="楷体_GB2312" w:cs="黑体"/>
          <w:b/>
          <w:sz w:val="32"/>
          <w:szCs w:val="32"/>
        </w:rPr>
      </w:pPr>
      <w:r>
        <w:rPr>
          <w:rFonts w:hint="eastAsia" w:ascii="楷体_GB2312" w:hAnsi="黑体" w:eastAsia="楷体_GB2312" w:cs="黑体"/>
          <w:b/>
          <w:sz w:val="32"/>
          <w:szCs w:val="32"/>
        </w:rPr>
        <w:t>5.新增新入选重要人才项目附加标准</w:t>
      </w:r>
    </w:p>
    <w:p>
      <w:pPr>
        <w:spacing w:line="580" w:lineRule="exact"/>
        <w:ind w:firstLine="643" w:firstLineChars="200"/>
        <w:rPr>
          <w:rFonts w:ascii="楷体_GB2312" w:hAnsi="仿宋" w:eastAsia="楷体_GB2312" w:cs="仿宋"/>
          <w:b/>
          <w:sz w:val="32"/>
          <w:szCs w:val="32"/>
          <w:u w:val="single"/>
        </w:rPr>
      </w:pPr>
      <w:r>
        <w:rPr>
          <w:rFonts w:hint="eastAsia" w:ascii="楷体_GB2312" w:hAnsi="仿宋" w:eastAsia="楷体_GB2312" w:cs="仿宋"/>
          <w:b/>
          <w:sz w:val="32"/>
          <w:szCs w:val="32"/>
          <w:u w:val="single"/>
        </w:rPr>
        <w:t>深入贯彻实施“人才兴校”战略，加快高层次人才建设，结合浙江省重点建设高校绩效考核、一流学科建设指标，对聘期内新培育国家级人才、省级人才分别给予其学科归属学院附加1个正高岗位、1个副高岗位，每人就高计算，不累加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国家级人才包括：两院院士、国家万人、国家千人、长江学者、国家杰青基金、国家百千万人才、国家有突出贡献中青年专家、中宣部“四个一批”人才、享受国务院特殊津贴人才；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省级人才包括：省特级专家、省万人、省千人、省高校领军人才培养计划创新领军人才、省级突出贡献中青年专家、省宣传文化系统“五个一批”人才。</w:t>
      </w:r>
    </w:p>
    <w:p>
      <w:pPr>
        <w:spacing w:line="560" w:lineRule="exact"/>
        <w:ind w:firstLine="643" w:firstLineChars="200"/>
        <w:rPr>
          <w:rFonts w:hint="eastAsia" w:ascii="楷体_GB2312" w:hAnsi="黑体" w:eastAsia="楷体_GB2312" w:cs="黑体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楷体_GB2312" w:hAnsi="黑体" w:eastAsia="楷体_GB2312" w:cs="黑体"/>
          <w:b/>
          <w:sz w:val="32"/>
          <w:szCs w:val="32"/>
          <w:lang w:val="en-US" w:eastAsia="zh-CN"/>
        </w:rPr>
        <w:t>6</w:t>
      </w:r>
      <w:r>
        <w:rPr>
          <w:rFonts w:hint="eastAsia" w:ascii="楷体_GB2312" w:hAnsi="黑体" w:eastAsia="楷体_GB2312" w:cs="黑体"/>
          <w:b/>
          <w:sz w:val="32"/>
          <w:szCs w:val="32"/>
        </w:rPr>
        <w:t>.</w:t>
      </w:r>
      <w:r>
        <w:rPr>
          <w:rFonts w:hint="eastAsia" w:ascii="楷体_GB2312" w:hAnsi="黑体" w:eastAsia="楷体_GB2312" w:cs="黑体"/>
          <w:b/>
          <w:sz w:val="32"/>
          <w:szCs w:val="32"/>
          <w:lang w:eastAsia="zh-CN"/>
        </w:rPr>
        <w:t>调整年度专业技术职务评聘推荐名额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对</w:t>
      </w:r>
      <w:r>
        <w:rPr>
          <w:rFonts w:hint="eastAsia" w:ascii="仿宋_GB2312" w:hAnsi="宋体" w:eastAsia="仿宋_GB2312"/>
          <w:sz w:val="32"/>
          <w:szCs w:val="32"/>
        </w:rPr>
        <w:t>于高级岗位数量已经超出核定比例</w:t>
      </w:r>
      <w:r>
        <w:rPr>
          <w:rFonts w:ascii="仿宋_GB2312" w:hAnsi="宋体" w:eastAsia="仿宋_GB2312"/>
          <w:sz w:val="32"/>
          <w:szCs w:val="32"/>
        </w:rPr>
        <w:t>的</w:t>
      </w:r>
      <w:r>
        <w:rPr>
          <w:rFonts w:hint="eastAsia" w:ascii="仿宋_GB2312" w:hAnsi="宋体" w:eastAsia="仿宋_GB2312"/>
          <w:sz w:val="32"/>
          <w:szCs w:val="32"/>
        </w:rPr>
        <w:t>学院</w:t>
      </w:r>
      <w:r>
        <w:rPr>
          <w:rFonts w:ascii="仿宋_GB2312" w:hAnsi="宋体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宋体" w:eastAsia="仿宋_GB2312"/>
          <w:sz w:val="32"/>
          <w:szCs w:val="32"/>
        </w:rPr>
        <w:t>年底前，在年度专业技术职务评聘中，学校给予相关学院每年不超过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一</w:t>
      </w:r>
      <w:r>
        <w:rPr>
          <w:rFonts w:hint="eastAsia" w:ascii="仿宋_GB2312" w:hAnsi="宋体" w:eastAsia="仿宋_GB2312"/>
          <w:sz w:val="32"/>
          <w:szCs w:val="32"/>
        </w:rPr>
        <w:t>个副高推荐名额，一个正高推荐名额。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0" w:firstLineChars="20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人事处</w:t>
      </w:r>
    </w:p>
    <w:p>
      <w:pPr>
        <w:spacing w:line="560" w:lineRule="exact"/>
        <w:ind w:firstLine="5760" w:firstLineChars="18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869194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22402E7"/>
    <w:rsid w:val="00017872"/>
    <w:rsid w:val="000264AF"/>
    <w:rsid w:val="00035E8C"/>
    <w:rsid w:val="00036161"/>
    <w:rsid w:val="00054391"/>
    <w:rsid w:val="00095377"/>
    <w:rsid w:val="000A042F"/>
    <w:rsid w:val="000A66C6"/>
    <w:rsid w:val="00152DCC"/>
    <w:rsid w:val="00173AC3"/>
    <w:rsid w:val="001A31F0"/>
    <w:rsid w:val="001A5200"/>
    <w:rsid w:val="001C1227"/>
    <w:rsid w:val="001C651E"/>
    <w:rsid w:val="002169CB"/>
    <w:rsid w:val="002317A7"/>
    <w:rsid w:val="002448CD"/>
    <w:rsid w:val="00265300"/>
    <w:rsid w:val="00273DD6"/>
    <w:rsid w:val="00285150"/>
    <w:rsid w:val="002A750F"/>
    <w:rsid w:val="002F1AC5"/>
    <w:rsid w:val="003164F9"/>
    <w:rsid w:val="0032657A"/>
    <w:rsid w:val="003278F9"/>
    <w:rsid w:val="00334ECC"/>
    <w:rsid w:val="003424C2"/>
    <w:rsid w:val="00371CBE"/>
    <w:rsid w:val="003B4533"/>
    <w:rsid w:val="003B5922"/>
    <w:rsid w:val="003F7783"/>
    <w:rsid w:val="004269EE"/>
    <w:rsid w:val="00464ADA"/>
    <w:rsid w:val="0046650B"/>
    <w:rsid w:val="0047131C"/>
    <w:rsid w:val="00490301"/>
    <w:rsid w:val="004A2EF9"/>
    <w:rsid w:val="004A50AC"/>
    <w:rsid w:val="004B14D7"/>
    <w:rsid w:val="004C28A0"/>
    <w:rsid w:val="004D5CD2"/>
    <w:rsid w:val="00535903"/>
    <w:rsid w:val="0053751E"/>
    <w:rsid w:val="00544DF9"/>
    <w:rsid w:val="00547738"/>
    <w:rsid w:val="00580C80"/>
    <w:rsid w:val="00596442"/>
    <w:rsid w:val="005A48E5"/>
    <w:rsid w:val="005F6900"/>
    <w:rsid w:val="00610BB6"/>
    <w:rsid w:val="00640F95"/>
    <w:rsid w:val="00650885"/>
    <w:rsid w:val="006513F0"/>
    <w:rsid w:val="006561C3"/>
    <w:rsid w:val="006755A2"/>
    <w:rsid w:val="006978E2"/>
    <w:rsid w:val="006A689F"/>
    <w:rsid w:val="006B1493"/>
    <w:rsid w:val="006D7572"/>
    <w:rsid w:val="00716D3B"/>
    <w:rsid w:val="007239FA"/>
    <w:rsid w:val="00795E2C"/>
    <w:rsid w:val="007B6657"/>
    <w:rsid w:val="007B73DC"/>
    <w:rsid w:val="007C119B"/>
    <w:rsid w:val="007C683B"/>
    <w:rsid w:val="008203E3"/>
    <w:rsid w:val="008646D6"/>
    <w:rsid w:val="008931D4"/>
    <w:rsid w:val="008D4EC6"/>
    <w:rsid w:val="008E20D6"/>
    <w:rsid w:val="00913B36"/>
    <w:rsid w:val="009306F3"/>
    <w:rsid w:val="00952847"/>
    <w:rsid w:val="0095794D"/>
    <w:rsid w:val="00967521"/>
    <w:rsid w:val="009A161B"/>
    <w:rsid w:val="009C3BAE"/>
    <w:rsid w:val="009D7BEE"/>
    <w:rsid w:val="009E2936"/>
    <w:rsid w:val="009F00A1"/>
    <w:rsid w:val="00AA0F39"/>
    <w:rsid w:val="00AE20B4"/>
    <w:rsid w:val="00AE6181"/>
    <w:rsid w:val="00AF200E"/>
    <w:rsid w:val="00B010ED"/>
    <w:rsid w:val="00B03C0A"/>
    <w:rsid w:val="00B066C2"/>
    <w:rsid w:val="00B31980"/>
    <w:rsid w:val="00B46AB6"/>
    <w:rsid w:val="00B62846"/>
    <w:rsid w:val="00B7587E"/>
    <w:rsid w:val="00B914B3"/>
    <w:rsid w:val="00B92C20"/>
    <w:rsid w:val="00BA3C54"/>
    <w:rsid w:val="00BA7EDC"/>
    <w:rsid w:val="00BE304A"/>
    <w:rsid w:val="00BF1446"/>
    <w:rsid w:val="00C25B6D"/>
    <w:rsid w:val="00C80C44"/>
    <w:rsid w:val="00CA7B3F"/>
    <w:rsid w:val="00CA7BDC"/>
    <w:rsid w:val="00CC1E88"/>
    <w:rsid w:val="00CD40A3"/>
    <w:rsid w:val="00CD61BF"/>
    <w:rsid w:val="00CE0A1D"/>
    <w:rsid w:val="00CE151B"/>
    <w:rsid w:val="00D00C60"/>
    <w:rsid w:val="00D073F5"/>
    <w:rsid w:val="00D10BDB"/>
    <w:rsid w:val="00D14D7D"/>
    <w:rsid w:val="00D3193A"/>
    <w:rsid w:val="00D42FAF"/>
    <w:rsid w:val="00D7396D"/>
    <w:rsid w:val="00D8213C"/>
    <w:rsid w:val="00D97948"/>
    <w:rsid w:val="00DA5B6E"/>
    <w:rsid w:val="00DB2DE1"/>
    <w:rsid w:val="00DC2E39"/>
    <w:rsid w:val="00DC6E52"/>
    <w:rsid w:val="00E131FD"/>
    <w:rsid w:val="00E24D5E"/>
    <w:rsid w:val="00E42301"/>
    <w:rsid w:val="00E708F7"/>
    <w:rsid w:val="00E72B10"/>
    <w:rsid w:val="00E96B32"/>
    <w:rsid w:val="00EB4CC4"/>
    <w:rsid w:val="00EC14F4"/>
    <w:rsid w:val="00EC23A8"/>
    <w:rsid w:val="00ED45EB"/>
    <w:rsid w:val="00ED56F0"/>
    <w:rsid w:val="00ED5CDE"/>
    <w:rsid w:val="00ED634F"/>
    <w:rsid w:val="00EE52F0"/>
    <w:rsid w:val="00F40A10"/>
    <w:rsid w:val="00F63FEA"/>
    <w:rsid w:val="00F81737"/>
    <w:rsid w:val="00FA6EB1"/>
    <w:rsid w:val="00FB79D5"/>
    <w:rsid w:val="00FB7F48"/>
    <w:rsid w:val="00FC3402"/>
    <w:rsid w:val="00FD5FEF"/>
    <w:rsid w:val="00FE0566"/>
    <w:rsid w:val="00FE690A"/>
    <w:rsid w:val="00FF0497"/>
    <w:rsid w:val="02826499"/>
    <w:rsid w:val="034803B8"/>
    <w:rsid w:val="036C50B1"/>
    <w:rsid w:val="03CD5D07"/>
    <w:rsid w:val="06211822"/>
    <w:rsid w:val="06273660"/>
    <w:rsid w:val="0C090713"/>
    <w:rsid w:val="0D284E2E"/>
    <w:rsid w:val="0E3B12B7"/>
    <w:rsid w:val="0E535519"/>
    <w:rsid w:val="0E975A49"/>
    <w:rsid w:val="0EAE2123"/>
    <w:rsid w:val="168D5B15"/>
    <w:rsid w:val="172E0DB9"/>
    <w:rsid w:val="1C674F76"/>
    <w:rsid w:val="23FF1EAA"/>
    <w:rsid w:val="24C15B1E"/>
    <w:rsid w:val="25031AA2"/>
    <w:rsid w:val="2BA10A18"/>
    <w:rsid w:val="30BF4AF6"/>
    <w:rsid w:val="35562071"/>
    <w:rsid w:val="3614758F"/>
    <w:rsid w:val="364201BE"/>
    <w:rsid w:val="373C1344"/>
    <w:rsid w:val="37467B48"/>
    <w:rsid w:val="37B51EA8"/>
    <w:rsid w:val="39140B4B"/>
    <w:rsid w:val="39B950C5"/>
    <w:rsid w:val="3D490AB2"/>
    <w:rsid w:val="3F592D43"/>
    <w:rsid w:val="41933D4B"/>
    <w:rsid w:val="41B8315D"/>
    <w:rsid w:val="41ED686E"/>
    <w:rsid w:val="422402E7"/>
    <w:rsid w:val="42E55C4C"/>
    <w:rsid w:val="43DB43CB"/>
    <w:rsid w:val="47217270"/>
    <w:rsid w:val="47DC0E8C"/>
    <w:rsid w:val="4D112D7C"/>
    <w:rsid w:val="4E053B50"/>
    <w:rsid w:val="50570C4A"/>
    <w:rsid w:val="545C5BE9"/>
    <w:rsid w:val="55373316"/>
    <w:rsid w:val="5A295031"/>
    <w:rsid w:val="5F32151F"/>
    <w:rsid w:val="629277AB"/>
    <w:rsid w:val="672A4AE2"/>
    <w:rsid w:val="69E62CD7"/>
    <w:rsid w:val="6C6E76EB"/>
    <w:rsid w:val="6DB70BA5"/>
    <w:rsid w:val="6FDA3AC1"/>
    <w:rsid w:val="6FE03206"/>
    <w:rsid w:val="70B51B56"/>
    <w:rsid w:val="73197CA7"/>
    <w:rsid w:val="7477227B"/>
    <w:rsid w:val="77ED732A"/>
    <w:rsid w:val="78E95C90"/>
    <w:rsid w:val="7BF71A11"/>
    <w:rsid w:val="7C2A08C3"/>
    <w:rsid w:val="7CA46CBE"/>
    <w:rsid w:val="7E02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C4B5A3-4B89-430B-9548-290F88D3F0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668</Words>
  <Characters>3808</Characters>
  <Lines>31</Lines>
  <Paragraphs>8</Paragraphs>
  <TotalTime>3</TotalTime>
  <ScaleCrop>false</ScaleCrop>
  <LinksUpToDate>false</LinksUpToDate>
  <CharactersWithSpaces>4468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2020-05-09T02:38:00Z</dcterms:created>
  <dc:creator>马利刚</dc:creator>
  <cp:lastModifiedBy>马利刚</cp:lastModifiedBy>
  <cp:lastPrinted>2020-06-16T01:02:00Z</cp:lastPrinted>
  <dcterms:modified xsi:type="dcterms:W3CDTF">2020-07-02T07:38:08Z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